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F43" w:rsidRPr="00ED5F43" w:rsidRDefault="00ED5F43" w:rsidP="00ED5F43">
      <w:pPr>
        <w:pStyle w:val="Nadpis4"/>
        <w:spacing w:after="150" w:afterAutospacing="0" w:line="300" w:lineRule="atLeast"/>
        <w:rPr>
          <w:rFonts w:ascii="Arial" w:eastAsia="Times New Roman" w:hAnsi="Arial" w:cs="Arial"/>
          <w:sz w:val="20"/>
          <w:szCs w:val="20"/>
        </w:rPr>
      </w:pPr>
      <w:r w:rsidRPr="00ED5F43">
        <w:rPr>
          <w:rFonts w:ascii="Arial" w:eastAsia="Times New Roman" w:hAnsi="Arial" w:cs="Arial"/>
          <w:sz w:val="20"/>
          <w:szCs w:val="20"/>
        </w:rPr>
        <w:t xml:space="preserve">COUNTRY ROFILE - </w:t>
      </w:r>
      <w:proofErr w:type="spellStart"/>
      <w:r w:rsidRPr="00ED5F43">
        <w:rPr>
          <w:rFonts w:ascii="Arial" w:eastAsia="Times New Roman" w:hAnsi="Arial" w:cs="Arial"/>
          <w:sz w:val="20"/>
          <w:szCs w:val="20"/>
        </w:rPr>
        <w:t>Campania</w:t>
      </w:r>
      <w:proofErr w:type="spellEnd"/>
      <w:r w:rsidRPr="00ED5F43">
        <w:rPr>
          <w:rFonts w:ascii="Arial" w:eastAsia="Times New Roman" w:hAnsi="Arial" w:cs="Arial"/>
          <w:sz w:val="20"/>
          <w:szCs w:val="20"/>
        </w:rPr>
        <w:t xml:space="preserve"> and </w:t>
      </w:r>
      <w:proofErr w:type="spellStart"/>
      <w:r w:rsidRPr="00ED5F43">
        <w:rPr>
          <w:rFonts w:ascii="Arial" w:eastAsia="Times New Roman" w:hAnsi="Arial" w:cs="Arial"/>
          <w:sz w:val="20"/>
          <w:szCs w:val="20"/>
        </w:rPr>
        <w:t>Puglia</w:t>
      </w:r>
      <w:proofErr w:type="spellEnd"/>
      <w:r w:rsidRPr="00ED5F43">
        <w:rPr>
          <w:rFonts w:ascii="Arial" w:eastAsia="Times New Roman" w:hAnsi="Arial" w:cs="Arial"/>
          <w:sz w:val="20"/>
          <w:szCs w:val="20"/>
        </w:rPr>
        <w:t xml:space="preserve"> </w:t>
      </w:r>
    </w:p>
    <w:p w:rsidR="00ED5F43" w:rsidRPr="00ED5F43" w:rsidRDefault="00ED5F43" w:rsidP="00ED5F43">
      <w:pPr>
        <w:rPr>
          <w:sz w:val="20"/>
          <w:szCs w:val="20"/>
        </w:rPr>
      </w:pPr>
      <w:r w:rsidRPr="00ED5F43">
        <w:rPr>
          <w:rFonts w:ascii="Arial" w:hAnsi="Arial" w:cs="Arial"/>
          <w:sz w:val="20"/>
          <w:szCs w:val="20"/>
          <w:lang w:val="en-US"/>
        </w:rPr>
        <w:t xml:space="preserve">ENEA, as member of Enterprise Europe Network within </w:t>
      </w:r>
      <w:proofErr w:type="spellStart"/>
      <w:r w:rsidRPr="00ED5F43">
        <w:rPr>
          <w:rFonts w:ascii="Arial" w:hAnsi="Arial" w:cs="Arial"/>
          <w:sz w:val="20"/>
          <w:szCs w:val="20"/>
          <w:lang w:val="en-US"/>
        </w:rPr>
        <w:t>Bridgeconomies</w:t>
      </w:r>
      <w:proofErr w:type="spellEnd"/>
      <w:r w:rsidRPr="00ED5F43">
        <w:rPr>
          <w:rFonts w:ascii="Arial" w:hAnsi="Arial" w:cs="Arial"/>
          <w:sz w:val="20"/>
          <w:szCs w:val="20"/>
          <w:lang w:val="en-US"/>
        </w:rPr>
        <w:t xml:space="preserve"> Consortium, operates in Campania and Puglia regions located in the South of Italy.</w:t>
      </w:r>
    </w:p>
    <w:p w:rsidR="00ED5F43" w:rsidRPr="00ED5F43" w:rsidRDefault="00ED5F43" w:rsidP="00ED5F43">
      <w:pPr>
        <w:pStyle w:val="Normlnweb"/>
        <w:rPr>
          <w:sz w:val="20"/>
          <w:szCs w:val="20"/>
        </w:rPr>
      </w:pPr>
      <w:r w:rsidRPr="00ED5F43">
        <w:rPr>
          <w:rFonts w:ascii="Arial" w:hAnsi="Arial" w:cs="Arial"/>
          <w:sz w:val="20"/>
          <w:szCs w:val="20"/>
          <w:lang w:val="en-US"/>
        </w:rPr>
        <w:t>In the Country, over 65% of constructions have been built before 1970-80, when very little was ruled by national law about energy efficiency and sustainability in general. There is therefore a great potential to operate in the field.</w:t>
      </w:r>
    </w:p>
    <w:p w:rsidR="00ED5F43" w:rsidRPr="00ED5F43" w:rsidRDefault="00ED5F43" w:rsidP="00ED5F43">
      <w:pPr>
        <w:pStyle w:val="Normlnweb"/>
        <w:rPr>
          <w:sz w:val="20"/>
          <w:szCs w:val="20"/>
        </w:rPr>
      </w:pPr>
      <w:r w:rsidRPr="00ED5F43">
        <w:rPr>
          <w:rFonts w:ascii="Arial" w:hAnsi="Arial" w:cs="Arial"/>
          <w:sz w:val="20"/>
          <w:szCs w:val="20"/>
          <w:lang w:val="en-US"/>
        </w:rPr>
        <w:t>This is the reason why several universities and research centers focus their research activities in sustainable constructions, either in terms of environmental impact of materials and methodologies used in the construction process, either in terms of sustainability in the building utilization, as for example, energy efficiency. The same applies to several companies that are developing research and business in the field for the same reasons.</w:t>
      </w:r>
      <w:r w:rsidRPr="00ED5F43">
        <w:rPr>
          <w:rFonts w:ascii="Arial" w:hAnsi="Arial" w:cs="Arial"/>
          <w:sz w:val="20"/>
          <w:szCs w:val="20"/>
          <w:lang w:val="en-US"/>
        </w:rPr>
        <w:br/>
        <w:t xml:space="preserve">In Campania and Puglia, the two regions where ENEA, as member of EEN, operates, there is a very active innovation ecosystem. </w:t>
      </w:r>
    </w:p>
    <w:p w:rsidR="00ED5F43" w:rsidRPr="00ED5F43" w:rsidRDefault="00ED5F43" w:rsidP="00ED5F43">
      <w:pPr>
        <w:pStyle w:val="Normlnweb"/>
        <w:rPr>
          <w:sz w:val="20"/>
          <w:szCs w:val="20"/>
        </w:rPr>
      </w:pPr>
      <w:r w:rsidRPr="00ED5F43">
        <w:rPr>
          <w:rFonts w:ascii="Arial" w:hAnsi="Arial" w:cs="Arial"/>
          <w:sz w:val="20"/>
          <w:szCs w:val="20"/>
          <w:lang w:val="en-US"/>
        </w:rPr>
        <w:t>In Campania, as an example, there are:</w:t>
      </w:r>
      <w:r w:rsidRPr="00ED5F43">
        <w:rPr>
          <w:rFonts w:ascii="Arial" w:hAnsi="Arial" w:cs="Arial"/>
          <w:sz w:val="20"/>
          <w:szCs w:val="20"/>
          <w:lang w:val="en-US"/>
        </w:rPr>
        <w:br/>
        <w:t>• 7 universities, (6 public and one private) with over 12 thousand researchers and teachers and 180K students</w:t>
      </w:r>
      <w:r w:rsidRPr="00ED5F43">
        <w:rPr>
          <w:rFonts w:ascii="Arial" w:hAnsi="Arial" w:cs="Arial"/>
          <w:sz w:val="20"/>
          <w:szCs w:val="20"/>
          <w:lang w:val="en-US"/>
        </w:rPr>
        <w:br/>
        <w:t>• 40 advanced research centers active in technology transfer and innovation services</w:t>
      </w:r>
      <w:r w:rsidRPr="00ED5F43">
        <w:rPr>
          <w:rFonts w:ascii="Arial" w:hAnsi="Arial" w:cs="Arial"/>
          <w:sz w:val="20"/>
          <w:szCs w:val="20"/>
          <w:lang w:val="en-US"/>
        </w:rPr>
        <w:br/>
        <w:t>• 7 High-Tech Districts and 21 public private laboratories operating in the regional strategic fields where sustainable construction is one of the most relevant.</w:t>
      </w:r>
      <w:r w:rsidRPr="00ED5F43">
        <w:rPr>
          <w:rFonts w:ascii="Arial" w:hAnsi="Arial" w:cs="Arial"/>
          <w:sz w:val="20"/>
          <w:szCs w:val="20"/>
          <w:lang w:val="en-US"/>
        </w:rPr>
        <w:br/>
        <w:t>• 25 structures to support entrepreneurship (incubators, science and technology parks, Fab lab, accelerators and service centers)</w:t>
      </w:r>
    </w:p>
    <w:p w:rsidR="00ED5F43" w:rsidRPr="00ED5F43" w:rsidRDefault="00ED5F43" w:rsidP="00ED5F43">
      <w:pPr>
        <w:pStyle w:val="Normlnweb"/>
        <w:rPr>
          <w:sz w:val="20"/>
          <w:szCs w:val="20"/>
        </w:rPr>
      </w:pPr>
      <w:proofErr w:type="spellStart"/>
      <w:r w:rsidRPr="00ED5F43">
        <w:rPr>
          <w:rFonts w:ascii="Arial" w:hAnsi="Arial" w:cs="Arial"/>
          <w:sz w:val="20"/>
          <w:szCs w:val="20"/>
          <w:lang w:val="en-US"/>
        </w:rPr>
        <w:t>Città</w:t>
      </w:r>
      <w:proofErr w:type="spellEnd"/>
      <w:r w:rsidRPr="00ED5F43">
        <w:rPr>
          <w:rFonts w:ascii="Arial" w:hAnsi="Arial" w:cs="Arial"/>
          <w:sz w:val="20"/>
          <w:szCs w:val="20"/>
          <w:lang w:val="en-US"/>
        </w:rPr>
        <w:t xml:space="preserve"> </w:t>
      </w:r>
      <w:proofErr w:type="spellStart"/>
      <w:r w:rsidRPr="00ED5F43">
        <w:rPr>
          <w:rFonts w:ascii="Arial" w:hAnsi="Arial" w:cs="Arial"/>
          <w:sz w:val="20"/>
          <w:szCs w:val="20"/>
          <w:lang w:val="en-US"/>
        </w:rPr>
        <w:t>della</w:t>
      </w:r>
      <w:proofErr w:type="spellEnd"/>
      <w:r w:rsidRPr="00ED5F43">
        <w:rPr>
          <w:rFonts w:ascii="Arial" w:hAnsi="Arial" w:cs="Arial"/>
          <w:sz w:val="20"/>
          <w:szCs w:val="20"/>
          <w:lang w:val="en-US"/>
        </w:rPr>
        <w:t xml:space="preserve"> </w:t>
      </w:r>
      <w:proofErr w:type="spellStart"/>
      <w:r w:rsidRPr="00ED5F43">
        <w:rPr>
          <w:rFonts w:ascii="Arial" w:hAnsi="Arial" w:cs="Arial"/>
          <w:sz w:val="20"/>
          <w:szCs w:val="20"/>
          <w:lang w:val="en-US"/>
        </w:rPr>
        <w:t>Scienza</w:t>
      </w:r>
      <w:proofErr w:type="spellEnd"/>
      <w:r w:rsidRPr="00ED5F43">
        <w:rPr>
          <w:rFonts w:ascii="Arial" w:hAnsi="Arial" w:cs="Arial"/>
          <w:sz w:val="20"/>
          <w:szCs w:val="20"/>
          <w:lang w:val="en-US"/>
        </w:rPr>
        <w:t xml:space="preserve">, one of the largest </w:t>
      </w:r>
      <w:proofErr w:type="spellStart"/>
      <w:r w:rsidRPr="00ED5F43">
        <w:rPr>
          <w:rFonts w:ascii="Arial" w:hAnsi="Arial" w:cs="Arial"/>
          <w:sz w:val="20"/>
          <w:szCs w:val="20"/>
          <w:lang w:val="en-US"/>
        </w:rPr>
        <w:t>european</w:t>
      </w:r>
      <w:proofErr w:type="spellEnd"/>
      <w:r w:rsidRPr="00ED5F43">
        <w:rPr>
          <w:rFonts w:ascii="Arial" w:hAnsi="Arial" w:cs="Arial"/>
          <w:sz w:val="20"/>
          <w:szCs w:val="20"/>
          <w:lang w:val="en-US"/>
        </w:rPr>
        <w:t xml:space="preserve"> Science &amp; Business </w:t>
      </w:r>
      <w:proofErr w:type="spellStart"/>
      <w:r w:rsidRPr="00ED5F43">
        <w:rPr>
          <w:rFonts w:ascii="Arial" w:hAnsi="Arial" w:cs="Arial"/>
          <w:sz w:val="20"/>
          <w:szCs w:val="20"/>
          <w:lang w:val="en-US"/>
        </w:rPr>
        <w:t>Centres</w:t>
      </w:r>
      <w:proofErr w:type="spellEnd"/>
      <w:r w:rsidRPr="00ED5F43">
        <w:rPr>
          <w:rFonts w:ascii="Arial" w:hAnsi="Arial" w:cs="Arial"/>
          <w:sz w:val="20"/>
          <w:szCs w:val="20"/>
          <w:lang w:val="en-US"/>
        </w:rPr>
        <w:br/>
        <w:t>1 billion euro invested in Research and Innovation Policies (+Digital Agenda) 2014-2020</w:t>
      </w:r>
      <w:r w:rsidRPr="00ED5F43">
        <w:rPr>
          <w:rFonts w:ascii="Arial" w:hAnsi="Arial" w:cs="Arial"/>
          <w:sz w:val="20"/>
          <w:szCs w:val="20"/>
          <w:lang w:val="en-US"/>
        </w:rPr>
        <w:br/>
        <w:t>Puglia, on the other hand, is a leading Region in the production of clean energy, holding first place in the production of wind and photo-voltaic energy and third in bio-energies.</w:t>
      </w:r>
    </w:p>
    <w:p w:rsidR="00ED5F43" w:rsidRPr="00ED5F43" w:rsidRDefault="00ED5F43" w:rsidP="00ED5F43">
      <w:pPr>
        <w:pStyle w:val="Normlnweb"/>
        <w:rPr>
          <w:sz w:val="20"/>
          <w:szCs w:val="20"/>
        </w:rPr>
      </w:pPr>
      <w:r w:rsidRPr="00ED5F43">
        <w:rPr>
          <w:rFonts w:ascii="Arial" w:hAnsi="Arial" w:cs="Arial"/>
          <w:sz w:val="20"/>
          <w:szCs w:val="20"/>
          <w:lang w:val="en-US"/>
        </w:rPr>
        <w:t>The Region is also part of a sustainable urban planning. Apulian construction companies are, in fact, incentivized to build structures that are increasingly energy efficient and that have a progressively lesser impact on the landscape, achieved in part through the use of natural materials of local origin.</w:t>
      </w:r>
    </w:p>
    <w:p w:rsidR="00D907C5" w:rsidRPr="00ED5F43" w:rsidRDefault="00ED5F43" w:rsidP="00ED5F43">
      <w:pPr>
        <w:rPr>
          <w:sz w:val="20"/>
          <w:szCs w:val="20"/>
        </w:rPr>
      </w:pPr>
      <w:proofErr w:type="gramStart"/>
      <w:r w:rsidRPr="00ED5F43">
        <w:rPr>
          <w:rFonts w:ascii="Arial" w:hAnsi="Arial" w:cs="Arial"/>
          <w:sz w:val="20"/>
          <w:szCs w:val="20"/>
          <w:lang w:val="en-US"/>
        </w:rPr>
        <w:t>A</w:t>
      </w:r>
      <w:proofErr w:type="gramEnd"/>
      <w:r w:rsidRPr="00ED5F43">
        <w:rPr>
          <w:rFonts w:ascii="Arial" w:hAnsi="Arial" w:cs="Arial"/>
          <w:sz w:val="20"/>
          <w:szCs w:val="20"/>
          <w:lang w:val="en-US"/>
        </w:rPr>
        <w:t xml:space="preserve"> Apulian Sustainable Construction Business Cluster has been recently established to develop sustainable construction in Puglia and to promote production quality in the market. The strategic aims are to strengthen the relationship between firms and public agencies; to stimulate engineering quality through environmental impact reduction and finally to promote technological research and innovation. The cluster also operates to broaden the market, targeting products and services with higher added value. In addition, it facilitates the development of new professional profiles able to disseminate sustainability in construction and urban development. The cluster includes: 165 companies, 10 research centers and universities, 11 training schools, 24 agencies, associations, professional orders and financial credit </w:t>
      </w:r>
      <w:r w:rsidRPr="00ED5F43">
        <w:rPr>
          <w:rFonts w:ascii="Arial" w:hAnsi="Arial" w:cs="Arial"/>
          <w:sz w:val="20"/>
          <w:szCs w:val="20"/>
          <w:lang w:val="en-US"/>
        </w:rPr>
        <w:t>institutions</w:t>
      </w:r>
      <w:bookmarkStart w:id="0" w:name="_GoBack"/>
      <w:bookmarkEnd w:id="0"/>
      <w:r w:rsidRPr="00ED5F43">
        <w:rPr>
          <w:rFonts w:ascii="Arial" w:hAnsi="Arial" w:cs="Arial"/>
          <w:sz w:val="20"/>
          <w:szCs w:val="20"/>
          <w:lang w:val="en-US"/>
        </w:rPr>
        <w:t>.</w:t>
      </w:r>
    </w:p>
    <w:sectPr w:rsidR="00D907C5" w:rsidRPr="00ED5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43"/>
    <w:rsid w:val="000227C1"/>
    <w:rsid w:val="003C38E9"/>
    <w:rsid w:val="00C2576E"/>
    <w:rsid w:val="00ED5F43"/>
    <w:rsid w:val="00F32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5F43"/>
    <w:rPr>
      <w:rFonts w:ascii="Times New Roman" w:eastAsiaTheme="minorHAnsi" w:hAnsi="Times New Roman" w:cs="Times New Roman"/>
      <w:sz w:val="24"/>
      <w:szCs w:val="24"/>
      <w:lang w:eastAsia="cs-CZ"/>
    </w:rPr>
  </w:style>
  <w:style w:type="paragraph" w:styleId="Nadpis4">
    <w:name w:val="heading 4"/>
    <w:basedOn w:val="Normln"/>
    <w:link w:val="Nadpis4Char"/>
    <w:uiPriority w:val="9"/>
    <w:semiHidden/>
    <w:unhideWhenUsed/>
    <w:qFormat/>
    <w:rsid w:val="00ED5F43"/>
    <w:pPr>
      <w:spacing w:before="100" w:beforeAutospacing="1" w:after="100" w:afterAutospacing="1"/>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3C38E9"/>
    <w:rPr>
      <w:b/>
      <w:bCs/>
    </w:rPr>
  </w:style>
  <w:style w:type="character" w:customStyle="1" w:styleId="Nadpis4Char">
    <w:name w:val="Nadpis 4 Char"/>
    <w:basedOn w:val="Standardnpsmoodstavce"/>
    <w:link w:val="Nadpis4"/>
    <w:uiPriority w:val="9"/>
    <w:semiHidden/>
    <w:rsid w:val="00ED5F43"/>
    <w:rPr>
      <w:rFonts w:ascii="Times New Roman" w:eastAsiaTheme="minorHAnsi" w:hAnsi="Times New Roman" w:cs="Times New Roman"/>
      <w:b/>
      <w:bCs/>
      <w:sz w:val="24"/>
      <w:szCs w:val="24"/>
      <w:lang w:eastAsia="cs-CZ"/>
    </w:rPr>
  </w:style>
  <w:style w:type="paragraph" w:styleId="Normlnweb">
    <w:name w:val="Normal (Web)"/>
    <w:basedOn w:val="Normln"/>
    <w:uiPriority w:val="99"/>
    <w:unhideWhenUsed/>
    <w:rsid w:val="00ED5F4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5F43"/>
    <w:rPr>
      <w:rFonts w:ascii="Times New Roman" w:eastAsiaTheme="minorHAnsi" w:hAnsi="Times New Roman" w:cs="Times New Roman"/>
      <w:sz w:val="24"/>
      <w:szCs w:val="24"/>
      <w:lang w:eastAsia="cs-CZ"/>
    </w:rPr>
  </w:style>
  <w:style w:type="paragraph" w:styleId="Nadpis4">
    <w:name w:val="heading 4"/>
    <w:basedOn w:val="Normln"/>
    <w:link w:val="Nadpis4Char"/>
    <w:uiPriority w:val="9"/>
    <w:semiHidden/>
    <w:unhideWhenUsed/>
    <w:qFormat/>
    <w:rsid w:val="00ED5F43"/>
    <w:pPr>
      <w:spacing w:before="100" w:beforeAutospacing="1" w:after="100" w:afterAutospacing="1"/>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3C38E9"/>
    <w:rPr>
      <w:b/>
      <w:bCs/>
    </w:rPr>
  </w:style>
  <w:style w:type="character" w:customStyle="1" w:styleId="Nadpis4Char">
    <w:name w:val="Nadpis 4 Char"/>
    <w:basedOn w:val="Standardnpsmoodstavce"/>
    <w:link w:val="Nadpis4"/>
    <w:uiPriority w:val="9"/>
    <w:semiHidden/>
    <w:rsid w:val="00ED5F43"/>
    <w:rPr>
      <w:rFonts w:ascii="Times New Roman" w:eastAsiaTheme="minorHAnsi" w:hAnsi="Times New Roman" w:cs="Times New Roman"/>
      <w:b/>
      <w:bCs/>
      <w:sz w:val="24"/>
      <w:szCs w:val="24"/>
      <w:lang w:eastAsia="cs-CZ"/>
    </w:rPr>
  </w:style>
  <w:style w:type="paragraph" w:styleId="Normlnweb">
    <w:name w:val="Normal (Web)"/>
    <w:basedOn w:val="Normln"/>
    <w:uiPriority w:val="99"/>
    <w:unhideWhenUsed/>
    <w:rsid w:val="00ED5F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6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2567</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Drholcová</dc:creator>
  <cp:lastModifiedBy>Magda Drholcová</cp:lastModifiedBy>
  <cp:revision>1</cp:revision>
  <dcterms:created xsi:type="dcterms:W3CDTF">2018-12-28T13:29:00Z</dcterms:created>
  <dcterms:modified xsi:type="dcterms:W3CDTF">2018-12-28T13:29:00Z</dcterms:modified>
</cp:coreProperties>
</file>